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FA97" w14:textId="59229944" w:rsidR="00E7455B" w:rsidRPr="00E7455B" w:rsidRDefault="00E7455B" w:rsidP="00E7455B">
      <w:pPr>
        <w:spacing w:line="259" w:lineRule="auto"/>
        <w:rPr>
          <w:b/>
          <w:color w:val="FF0000"/>
        </w:rPr>
      </w:pPr>
      <w:bookmarkStart w:id="0" w:name="_Hlk77256283"/>
      <w:r w:rsidRPr="002308FC">
        <w:rPr>
          <w:b/>
        </w:rPr>
        <w:t>Samstag / 10. September 2022</w:t>
      </w:r>
      <w:r w:rsidRPr="002308FC"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73C850E3" w14:textId="77777777" w:rsidR="00E7455B" w:rsidRPr="00E7455B" w:rsidRDefault="00E7455B" w:rsidP="00E7455B">
      <w:pPr>
        <w:spacing w:after="0"/>
        <w:rPr>
          <w:b/>
        </w:rPr>
      </w:pPr>
      <w:r w:rsidRPr="00E7455B">
        <w:rPr>
          <w:b/>
        </w:rPr>
        <w:t>Level ●●</w:t>
      </w:r>
    </w:p>
    <w:p w14:paraId="66D41317" w14:textId="77777777" w:rsidR="00E7455B" w:rsidRPr="00E7455B" w:rsidRDefault="00E7455B" w:rsidP="00E7455B">
      <w:pPr>
        <w:spacing w:line="259" w:lineRule="auto"/>
        <w:rPr>
          <w:b/>
          <w:color w:val="FF0000"/>
        </w:rPr>
      </w:pPr>
    </w:p>
    <w:p w14:paraId="70ED58A8" w14:textId="77777777" w:rsidR="00E7455B" w:rsidRDefault="00E7455B" w:rsidP="00E7455B">
      <w:pPr>
        <w:spacing w:line="259" w:lineRule="auto"/>
        <w:rPr>
          <w:b/>
        </w:rPr>
      </w:pPr>
      <w:bookmarkStart w:id="1" w:name="_GoBack"/>
      <w:r w:rsidRPr="001C1E6D">
        <w:rPr>
          <w:b/>
        </w:rPr>
        <w:t>Darmbalance – was hat der Darm mit dem metabolischen Syndrom zu tun?</w:t>
      </w:r>
    </w:p>
    <w:bookmarkEnd w:id="1"/>
    <w:p w14:paraId="5C6F162C" w14:textId="77777777" w:rsidR="00E7455B" w:rsidRPr="001C1E6D" w:rsidRDefault="00E7455B" w:rsidP="00E7455B">
      <w:pPr>
        <w:spacing w:line="259" w:lineRule="auto"/>
        <w:rPr>
          <w:b/>
        </w:rPr>
      </w:pPr>
    </w:p>
    <w:p w14:paraId="2CB27A9D" w14:textId="77777777" w:rsidR="00E7455B" w:rsidRPr="001C1E6D" w:rsidRDefault="00E7455B" w:rsidP="00E7455B">
      <w:pPr>
        <w:spacing w:after="0" w:line="259" w:lineRule="auto"/>
        <w:ind w:left="1410" w:hanging="1410"/>
        <w:rPr>
          <w:bCs/>
        </w:rPr>
      </w:pPr>
      <w:r w:rsidRPr="001C1E6D">
        <w:rPr>
          <w:b/>
        </w:rPr>
        <w:t>Themen</w:t>
      </w:r>
      <w:r>
        <w:rPr>
          <w:bCs/>
        </w:rPr>
        <w:tab/>
      </w:r>
      <w:proofErr w:type="spellStart"/>
      <w:r w:rsidRPr="001C1E6D">
        <w:rPr>
          <w:bCs/>
        </w:rPr>
        <w:t>Nach</w:t>
      </w:r>
      <w:proofErr w:type="spellEnd"/>
      <w:r w:rsidRPr="001C1E6D">
        <w:rPr>
          <w:bCs/>
        </w:rPr>
        <w:t xml:space="preserve"> neusten wissenschaftlichen Erkenntnissen ist die</w:t>
      </w:r>
      <w:r>
        <w:rPr>
          <w:bCs/>
        </w:rPr>
        <w:t xml:space="preserve"> </w:t>
      </w:r>
      <w:proofErr w:type="spellStart"/>
      <w:r w:rsidRPr="001C1E6D">
        <w:rPr>
          <w:bCs/>
        </w:rPr>
        <w:t>Darmmikrobiota</w:t>
      </w:r>
      <w:proofErr w:type="spellEnd"/>
      <w:r w:rsidRPr="001C1E6D">
        <w:rPr>
          <w:bCs/>
        </w:rPr>
        <w:t xml:space="preserve"> entscheidend an der Entstehung eines</w:t>
      </w:r>
      <w:r>
        <w:rPr>
          <w:bCs/>
        </w:rPr>
        <w:t xml:space="preserve"> </w:t>
      </w:r>
      <w:r w:rsidRPr="001C1E6D">
        <w:rPr>
          <w:bCs/>
        </w:rPr>
        <w:t>metabolischen Syndroms beteiligt.</w:t>
      </w:r>
    </w:p>
    <w:p w14:paraId="5616B0B3" w14:textId="77777777" w:rsidR="00E7455B" w:rsidRPr="001C1E6D" w:rsidRDefault="00E7455B" w:rsidP="00E7455B">
      <w:pPr>
        <w:spacing w:after="0" w:line="259" w:lineRule="auto"/>
        <w:ind w:left="1416"/>
        <w:rPr>
          <w:bCs/>
        </w:rPr>
      </w:pPr>
      <w:r w:rsidRPr="001C1E6D">
        <w:rPr>
          <w:bCs/>
        </w:rPr>
        <w:t>Das metabolische Syndrom mit Übergewicht, Bluthochdruck</w:t>
      </w:r>
      <w:r>
        <w:rPr>
          <w:bCs/>
        </w:rPr>
        <w:t xml:space="preserve"> </w:t>
      </w:r>
      <w:r w:rsidRPr="001C1E6D">
        <w:rPr>
          <w:bCs/>
        </w:rPr>
        <w:t>und Fettstoffwechselstörung mündet unbehandelt</w:t>
      </w:r>
      <w:r>
        <w:rPr>
          <w:bCs/>
        </w:rPr>
        <w:t xml:space="preserve"> </w:t>
      </w:r>
      <w:r w:rsidRPr="001C1E6D">
        <w:rPr>
          <w:bCs/>
        </w:rPr>
        <w:t>nicht selten in Diabetes mellitus Typ 2. Die Verbreitung dieses</w:t>
      </w:r>
    </w:p>
    <w:p w14:paraId="3F85B0CC" w14:textId="77777777" w:rsidR="00E7455B" w:rsidRPr="001C1E6D" w:rsidRDefault="00E7455B" w:rsidP="00E7455B">
      <w:pPr>
        <w:spacing w:after="0" w:line="259" w:lineRule="auto"/>
        <w:ind w:left="1416"/>
        <w:rPr>
          <w:bCs/>
        </w:rPr>
      </w:pPr>
      <w:r w:rsidRPr="001C1E6D">
        <w:rPr>
          <w:bCs/>
        </w:rPr>
        <w:t>Symptomenkomplexes nimmt in den Industriestaaten</w:t>
      </w:r>
      <w:r>
        <w:rPr>
          <w:bCs/>
        </w:rPr>
        <w:t xml:space="preserve"> </w:t>
      </w:r>
      <w:r w:rsidRPr="001C1E6D">
        <w:rPr>
          <w:bCs/>
        </w:rPr>
        <w:t>rasant zu und sogar Kinder und Jugendliche sind bereits</w:t>
      </w:r>
      <w:r>
        <w:rPr>
          <w:bCs/>
        </w:rPr>
        <w:t xml:space="preserve"> </w:t>
      </w:r>
      <w:r w:rsidRPr="001C1E6D">
        <w:rPr>
          <w:bCs/>
        </w:rPr>
        <w:t>davon betroffen. Verantwortlich dafür ist der ungesunde</w:t>
      </w:r>
    </w:p>
    <w:p w14:paraId="06DC5FEC" w14:textId="77777777" w:rsidR="00E7455B" w:rsidRPr="001C1E6D" w:rsidRDefault="00E7455B" w:rsidP="00E7455B">
      <w:pPr>
        <w:spacing w:after="0" w:line="259" w:lineRule="auto"/>
        <w:ind w:left="1416"/>
        <w:rPr>
          <w:bCs/>
        </w:rPr>
      </w:pPr>
      <w:r w:rsidRPr="001C1E6D">
        <w:rPr>
          <w:bCs/>
        </w:rPr>
        <w:t>Lebensstil mit Bewegungsarmut und ein Zuviel an industrieller</w:t>
      </w:r>
      <w:r>
        <w:rPr>
          <w:bCs/>
        </w:rPr>
        <w:t xml:space="preserve"> </w:t>
      </w:r>
      <w:r w:rsidRPr="001C1E6D">
        <w:rPr>
          <w:bCs/>
        </w:rPr>
        <w:t>und zuckerreicher Nahrung, der das Darmmikrobiom</w:t>
      </w:r>
      <w:r>
        <w:rPr>
          <w:bCs/>
        </w:rPr>
        <w:t xml:space="preserve"> </w:t>
      </w:r>
      <w:r w:rsidRPr="001C1E6D">
        <w:rPr>
          <w:bCs/>
        </w:rPr>
        <w:t>ungünstig verändert. Welche Bakterien vor Diabetes</w:t>
      </w:r>
    </w:p>
    <w:p w14:paraId="4F58A418" w14:textId="77777777" w:rsidR="00E7455B" w:rsidRDefault="00E7455B" w:rsidP="00E7455B">
      <w:pPr>
        <w:spacing w:after="0" w:line="259" w:lineRule="auto"/>
        <w:ind w:left="1416"/>
        <w:rPr>
          <w:bCs/>
        </w:rPr>
      </w:pPr>
      <w:r w:rsidRPr="001C1E6D">
        <w:rPr>
          <w:bCs/>
        </w:rPr>
        <w:t>schützen können, welche diagnostischen Möglichkeiten</w:t>
      </w:r>
      <w:r>
        <w:rPr>
          <w:bCs/>
        </w:rPr>
        <w:t xml:space="preserve"> </w:t>
      </w:r>
      <w:r w:rsidRPr="001C1E6D">
        <w:rPr>
          <w:bCs/>
        </w:rPr>
        <w:t>es gibt und welche Behandlungsstrategien und Präparate</w:t>
      </w:r>
      <w:r>
        <w:rPr>
          <w:bCs/>
        </w:rPr>
        <w:t xml:space="preserve"> </w:t>
      </w:r>
      <w:r w:rsidRPr="001C1E6D">
        <w:rPr>
          <w:bCs/>
        </w:rPr>
        <w:t>Erfolg versprechen bei der Prävention und Therapie des</w:t>
      </w:r>
      <w:r>
        <w:rPr>
          <w:bCs/>
        </w:rPr>
        <w:t xml:space="preserve"> </w:t>
      </w:r>
      <w:r w:rsidRPr="001C1E6D">
        <w:rPr>
          <w:bCs/>
        </w:rPr>
        <w:t>«tödlichen Quartetts», erfahren Sie praxisnah und lebendig</w:t>
      </w:r>
      <w:r>
        <w:rPr>
          <w:bCs/>
        </w:rPr>
        <w:t xml:space="preserve"> </w:t>
      </w:r>
      <w:r w:rsidRPr="001C1E6D">
        <w:rPr>
          <w:bCs/>
        </w:rPr>
        <w:t>von der auf diesem Gebiet spezialisierten Referentin.</w:t>
      </w:r>
    </w:p>
    <w:p w14:paraId="169C11E0" w14:textId="77777777" w:rsidR="00E7455B" w:rsidRDefault="00E7455B" w:rsidP="00E7455B">
      <w:pPr>
        <w:spacing w:after="0" w:line="259" w:lineRule="auto"/>
        <w:rPr>
          <w:bCs/>
        </w:rPr>
      </w:pPr>
    </w:p>
    <w:p w14:paraId="7C667A17" w14:textId="77777777" w:rsidR="00E7455B" w:rsidRPr="00D62F12" w:rsidRDefault="00E7455B" w:rsidP="00E7455B">
      <w:pPr>
        <w:spacing w:after="0" w:line="240" w:lineRule="auto"/>
        <w:ind w:left="1410" w:hanging="1410"/>
        <w:rPr>
          <w:rFonts w:eastAsia="Times New Roman"/>
          <w:b/>
        </w:rPr>
      </w:pPr>
      <w:r w:rsidRPr="00D62F12">
        <w:rPr>
          <w:rFonts w:eastAsia="Times New Roman"/>
          <w:b/>
        </w:rPr>
        <w:t>Referent</w:t>
      </w:r>
      <w:r>
        <w:rPr>
          <w:rFonts w:eastAsia="Times New Roman"/>
          <w:b/>
        </w:rPr>
        <w:t>in</w:t>
      </w:r>
      <w:r w:rsidRPr="00D62F12">
        <w:rPr>
          <w:rFonts w:eastAsia="Times New Roman"/>
          <w:b/>
        </w:rPr>
        <w:tab/>
      </w:r>
      <w:r w:rsidRPr="00D62F12">
        <w:rPr>
          <w:rFonts w:eastAsia="Times New Roman"/>
        </w:rPr>
        <w:t xml:space="preserve">Dr. med. </w:t>
      </w:r>
      <w:r>
        <w:rPr>
          <w:rFonts w:eastAsia="Times New Roman"/>
        </w:rPr>
        <w:t>Ulrike Keim, Fachärztin für Innere Medizin, Homöopathie und Naturheilverfahren, Bonn</w:t>
      </w:r>
    </w:p>
    <w:p w14:paraId="0266BBA5" w14:textId="77777777" w:rsidR="00E7455B" w:rsidRPr="002308FC" w:rsidRDefault="00E7455B" w:rsidP="00E7455B">
      <w:pPr>
        <w:spacing w:after="0" w:line="240" w:lineRule="auto"/>
        <w:rPr>
          <w:rFonts w:ascii="Calibri" w:hAnsi="Calibri"/>
          <w:b/>
          <w:szCs w:val="21"/>
        </w:rPr>
      </w:pPr>
      <w:r w:rsidRPr="00126D88">
        <w:rPr>
          <w:rFonts w:ascii="Calibri" w:hAnsi="Calibri"/>
          <w:b/>
          <w:szCs w:val="21"/>
        </w:rPr>
        <w:t>Ort</w:t>
      </w:r>
      <w:r w:rsidRPr="00126D88">
        <w:rPr>
          <w:rFonts w:ascii="Calibri" w:hAnsi="Calibri"/>
          <w:b/>
          <w:szCs w:val="21"/>
        </w:rPr>
        <w:tab/>
      </w:r>
      <w:r w:rsidRPr="00126D88">
        <w:rPr>
          <w:rFonts w:ascii="Calibri" w:hAnsi="Calibri"/>
          <w:b/>
          <w:szCs w:val="21"/>
        </w:rPr>
        <w:tab/>
      </w:r>
      <w:r w:rsidRPr="002308FC">
        <w:rPr>
          <w:rFonts w:eastAsia="Times New Roman" w:cs="Calibri"/>
          <w:szCs w:val="20"/>
          <w:lang w:eastAsia="de-DE"/>
        </w:rPr>
        <w:t xml:space="preserve">Hotel Radisson </w:t>
      </w:r>
      <w:proofErr w:type="spellStart"/>
      <w:r w:rsidRPr="002308FC">
        <w:rPr>
          <w:rFonts w:eastAsia="Times New Roman" w:cs="Calibri"/>
          <w:szCs w:val="20"/>
          <w:lang w:eastAsia="de-DE"/>
        </w:rPr>
        <w:t>Blu</w:t>
      </w:r>
      <w:proofErr w:type="spellEnd"/>
      <w:r w:rsidRPr="002308FC">
        <w:rPr>
          <w:rFonts w:eastAsia="Times New Roman" w:cs="Calibri"/>
          <w:szCs w:val="20"/>
          <w:lang w:eastAsia="de-DE"/>
        </w:rPr>
        <w:t xml:space="preserve">, </w:t>
      </w:r>
      <w:proofErr w:type="spellStart"/>
      <w:r w:rsidRPr="002308FC">
        <w:rPr>
          <w:rFonts w:eastAsia="Times New Roman" w:cs="Calibri"/>
          <w:szCs w:val="20"/>
          <w:lang w:eastAsia="de-DE"/>
        </w:rPr>
        <w:t>Inseliquai</w:t>
      </w:r>
      <w:proofErr w:type="spellEnd"/>
      <w:r w:rsidRPr="002308FC">
        <w:rPr>
          <w:rFonts w:eastAsia="Times New Roman" w:cs="Calibri"/>
          <w:szCs w:val="20"/>
          <w:lang w:eastAsia="de-DE"/>
        </w:rPr>
        <w:t xml:space="preserve"> 12, 6005 Luzern</w:t>
      </w:r>
    </w:p>
    <w:p w14:paraId="3A396303" w14:textId="77777777" w:rsidR="00E7455B" w:rsidRPr="00D62F12" w:rsidRDefault="00E7455B" w:rsidP="00E7455B">
      <w:pPr>
        <w:spacing w:after="0" w:line="240" w:lineRule="auto"/>
        <w:rPr>
          <w:rFonts w:eastAsia="Times New Roman"/>
        </w:rPr>
      </w:pPr>
      <w:r w:rsidRPr="00D62F12">
        <w:rPr>
          <w:rFonts w:ascii="Calibri" w:hAnsi="Calibri"/>
          <w:b/>
          <w:szCs w:val="21"/>
        </w:rPr>
        <w:t>Dauer</w:t>
      </w:r>
      <w:r w:rsidRPr="00D62F12">
        <w:rPr>
          <w:rFonts w:ascii="Calibri" w:hAnsi="Calibri"/>
          <w:szCs w:val="21"/>
        </w:rPr>
        <w:t xml:space="preserve"> </w:t>
      </w:r>
      <w:r w:rsidRPr="00D62F12">
        <w:rPr>
          <w:rFonts w:ascii="Calibri" w:hAnsi="Calibri"/>
          <w:szCs w:val="21"/>
        </w:rPr>
        <w:tab/>
      </w:r>
      <w:r w:rsidRPr="00D62F12">
        <w:rPr>
          <w:rFonts w:ascii="Calibri" w:hAnsi="Calibri"/>
          <w:szCs w:val="21"/>
        </w:rPr>
        <w:tab/>
      </w:r>
      <w:r w:rsidRPr="00D62F12">
        <w:rPr>
          <w:rFonts w:eastAsia="Times New Roman" w:cs="Calibri"/>
          <w:lang w:eastAsia="de-DE"/>
        </w:rPr>
        <w:t>09.30 – ca. 17.00 Uhr </w:t>
      </w:r>
    </w:p>
    <w:p w14:paraId="46983B2A" w14:textId="77777777" w:rsidR="00E7455B" w:rsidRPr="00D62F12" w:rsidRDefault="00E7455B" w:rsidP="00E7455B">
      <w:pPr>
        <w:spacing w:after="0" w:line="240" w:lineRule="auto"/>
        <w:rPr>
          <w:rFonts w:eastAsia="Times New Roman"/>
          <w:b/>
        </w:rPr>
      </w:pPr>
      <w:r w:rsidRPr="00D62F12">
        <w:rPr>
          <w:rFonts w:eastAsia="Times New Roman" w:cs="Calibri"/>
          <w:b/>
          <w:lang w:eastAsia="de-DE"/>
        </w:rPr>
        <w:t>Kosten</w:t>
      </w:r>
      <w:r w:rsidRPr="00D62F12">
        <w:rPr>
          <w:rFonts w:eastAsia="Times New Roman" w:cs="Calibri"/>
          <w:b/>
          <w:lang w:eastAsia="de-DE"/>
        </w:rPr>
        <w:tab/>
      </w:r>
      <w:r w:rsidRPr="00D62F12">
        <w:rPr>
          <w:rFonts w:eastAsia="Times New Roman" w:cs="Calibri"/>
          <w:lang w:eastAsia="de-DE"/>
        </w:rPr>
        <w:tab/>
        <w:t xml:space="preserve">CHF 160. – (inkl. MWST) </w:t>
      </w:r>
    </w:p>
    <w:bookmarkEnd w:id="0"/>
    <w:p w14:paraId="7FF3CE3E" w14:textId="77777777" w:rsidR="00455FFF" w:rsidRDefault="00455FFF"/>
    <w:sectPr w:rsidR="00455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5B"/>
    <w:rsid w:val="00455FFF"/>
    <w:rsid w:val="00E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BFC62"/>
  <w15:chartTrackingRefBased/>
  <w15:docId w15:val="{AF1F0503-A6B9-46A4-B511-001225BF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55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2021-07-28T12:43:00Z</dcterms:created>
  <dcterms:modified xsi:type="dcterms:W3CDTF">2021-07-28T12:44:00Z</dcterms:modified>
</cp:coreProperties>
</file>